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02" w:rsidRPr="006856F5" w:rsidRDefault="00115C02" w:rsidP="00115C02">
      <w:pPr>
        <w:rPr>
          <w:rFonts w:ascii="Times New Roman" w:hAnsi="Times New Roman" w:cs="Times New Roman"/>
          <w:b/>
          <w:sz w:val="24"/>
          <w:szCs w:val="24"/>
        </w:rPr>
      </w:pPr>
      <w:r w:rsidRPr="006856F5">
        <w:rPr>
          <w:rFonts w:ascii="Times New Roman" w:hAnsi="Times New Roman" w:cs="Times New Roman"/>
          <w:b/>
          <w:sz w:val="24"/>
          <w:szCs w:val="24"/>
        </w:rPr>
        <w:t>Lifespan Systems Approach for the Adult Population (Group Project) (10pts)</w:t>
      </w:r>
    </w:p>
    <w:p w:rsidR="00115C02" w:rsidRDefault="00115C02" w:rsidP="00115C02">
      <w:pPr>
        <w:rPr>
          <w:rFonts w:ascii="Times New Roman" w:hAnsi="Times New Roman" w:cs="Times New Roman"/>
          <w:i/>
          <w:sz w:val="24"/>
          <w:szCs w:val="24"/>
        </w:rPr>
      </w:pPr>
      <w:r w:rsidRPr="006856F5">
        <w:rPr>
          <w:rFonts w:ascii="Times New Roman" w:hAnsi="Times New Roman" w:cs="Times New Roman"/>
          <w:i/>
          <w:sz w:val="24"/>
          <w:szCs w:val="24"/>
        </w:rPr>
        <w:t xml:space="preserve">Describe the major changes, functional implications, </w:t>
      </w:r>
      <w:proofErr w:type="gramStart"/>
      <w:r w:rsidRPr="006856F5">
        <w:rPr>
          <w:rFonts w:ascii="Times New Roman" w:hAnsi="Times New Roman" w:cs="Times New Roman"/>
          <w:i/>
          <w:sz w:val="24"/>
          <w:szCs w:val="24"/>
        </w:rPr>
        <w:t>rehabilitation</w:t>
      </w:r>
      <w:proofErr w:type="gramEnd"/>
      <w:r w:rsidRPr="006856F5">
        <w:rPr>
          <w:rFonts w:ascii="Times New Roman" w:hAnsi="Times New Roman" w:cs="Times New Roman"/>
          <w:i/>
          <w:sz w:val="24"/>
          <w:szCs w:val="24"/>
        </w:rPr>
        <w:t xml:space="preserve"> implications for each life stage. How with this knowledge be integrated as a PTA when treating patients from this age? (Nervous, Somatosensory, Visual, Vestibular, Muscular, Skeletal Systems)</w:t>
      </w:r>
    </w:p>
    <w:p w:rsidR="00115C02" w:rsidRDefault="00115C02" w:rsidP="0011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Nervous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2472"/>
        <w:gridCol w:w="2445"/>
        <w:gridCol w:w="2469"/>
      </w:tblGrid>
      <w:tr w:rsidR="00115C02" w:rsidTr="00011DFC">
        <w:tc>
          <w:tcPr>
            <w:tcW w:w="147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66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61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 </w:t>
            </w:r>
          </w:p>
        </w:tc>
        <w:tc>
          <w:tcPr>
            <w:tcW w:w="260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>Rehabilitation Implication</w:t>
            </w:r>
          </w:p>
        </w:tc>
      </w:tr>
      <w:tr w:rsidR="00115C02" w:rsidTr="00011DFC">
        <w:tc>
          <w:tcPr>
            <w:tcW w:w="147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Maturity (Adulthood) </w:t>
            </w:r>
          </w:p>
        </w:tc>
        <w:tc>
          <w:tcPr>
            <w:tcW w:w="2665" w:type="dxa"/>
          </w:tcPr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20">
              <w:rPr>
                <w:rFonts w:ascii="Times New Roman" w:hAnsi="Times New Roman" w:cs="Times New Roman"/>
                <w:sz w:val="24"/>
                <w:szCs w:val="24"/>
              </w:rPr>
              <w:t xml:space="preserve">Continued brain growth until age 12-15; critical growth periods at age 6-8, 10-12, and age 18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complexity of fiber systems and increased conduction velocity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Declining nerve conduction velocities after age 30 </w:t>
            </w:r>
          </w:p>
          <w:p w:rsidR="00115C02" w:rsidRPr="00965B20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Beginning decline in brain weight and volume </w:t>
            </w:r>
          </w:p>
        </w:tc>
        <w:tc>
          <w:tcPr>
            <w:tcW w:w="2610" w:type="dxa"/>
          </w:tcPr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 peaks at age 20-30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continues to be able to be maximized because of ongoing development of association areas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Reaction time peaks between 20-60 years</w:t>
            </w:r>
          </w:p>
          <w:p w:rsidR="00115C02" w:rsidRPr="00093F7C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areas to show neuronal loss and shrinkage are sensory and motor cortexes and hippocampus </w:t>
            </w:r>
          </w:p>
        </w:tc>
        <w:tc>
          <w:tcPr>
            <w:tcW w:w="2605" w:type="dxa"/>
          </w:tcPr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Built-in redundancy offers great implications for recovery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Plasticity in adulthood is highly dependent on use, which increases synaptic strength and efficiency </w:t>
            </w:r>
          </w:p>
          <w:p w:rsidR="00115C02" w:rsidRPr="00093F7C" w:rsidRDefault="00115C02" w:rsidP="00115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Short-term memory beginning to decline </w:t>
            </w:r>
          </w:p>
        </w:tc>
      </w:tr>
    </w:tbl>
    <w:p w:rsidR="00115C02" w:rsidRDefault="00115C02" w:rsidP="00115C02">
      <w:pPr>
        <w:rPr>
          <w:rFonts w:ascii="Times New Roman" w:hAnsi="Times New Roman" w:cs="Times New Roman"/>
          <w:sz w:val="24"/>
          <w:szCs w:val="24"/>
        </w:rPr>
      </w:pPr>
    </w:p>
    <w:p w:rsidR="00115C02" w:rsidRDefault="00115C02" w:rsidP="0011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Somatosensory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217"/>
        <w:gridCol w:w="2287"/>
        <w:gridCol w:w="2920"/>
      </w:tblGrid>
      <w:tr w:rsidR="00115C02" w:rsidTr="00011DFC">
        <w:tc>
          <w:tcPr>
            <w:tcW w:w="143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4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43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314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5C02" w:rsidTr="00011DFC">
        <w:tc>
          <w:tcPr>
            <w:tcW w:w="143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Maturity (adulthood) </w:t>
            </w:r>
          </w:p>
        </w:tc>
        <w:tc>
          <w:tcPr>
            <w:tcW w:w="2340" w:type="dxa"/>
          </w:tcPr>
          <w:p w:rsidR="00115C02" w:rsidRDefault="00115C02" w:rsidP="0011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Small, almost imperceptible changes not noticeable until after age 40 </w:t>
            </w:r>
          </w:p>
          <w:p w:rsidR="00115C02" w:rsidRPr="00D41888" w:rsidRDefault="00115C02" w:rsidP="0011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Skin changes, such as dryness and decreased elasticity, affect precision of cutaneous receptors </w:t>
            </w:r>
          </w:p>
        </w:tc>
        <w:tc>
          <w:tcPr>
            <w:tcW w:w="2430" w:type="dxa"/>
          </w:tcPr>
          <w:p w:rsidR="00115C02" w:rsidRPr="00D41888" w:rsidRDefault="00115C02" w:rsidP="0011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Reaction time is decreased </w:t>
            </w:r>
          </w:p>
        </w:tc>
        <w:tc>
          <w:tcPr>
            <w:tcW w:w="3145" w:type="dxa"/>
          </w:tcPr>
          <w:p w:rsidR="00115C02" w:rsidRDefault="00115C02" w:rsidP="0011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Knowledge based on experience will make up for any minimal sensory and motor decline, minimizing any functional impact </w:t>
            </w:r>
          </w:p>
          <w:p w:rsidR="00115C02" w:rsidRPr="00D41888" w:rsidRDefault="00115C02" w:rsidP="0011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Clinicians can maximize rehabilitation at this life stage by choosing tasks from patient’s past experience and knowledge repertoire </w:t>
            </w:r>
          </w:p>
        </w:tc>
      </w:tr>
    </w:tbl>
    <w:p w:rsidR="00115C02" w:rsidRDefault="00115C02" w:rsidP="00115C02">
      <w:pPr>
        <w:rPr>
          <w:rFonts w:ascii="Times New Roman" w:hAnsi="Times New Roman" w:cs="Times New Roman"/>
          <w:sz w:val="24"/>
          <w:szCs w:val="24"/>
        </w:rPr>
      </w:pPr>
    </w:p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Visual System 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417"/>
        <w:gridCol w:w="2718"/>
        <w:gridCol w:w="2340"/>
        <w:gridCol w:w="2875"/>
        <w:gridCol w:w="113"/>
      </w:tblGrid>
      <w:tr w:rsidR="00115C02" w:rsidTr="00011DFC">
        <w:tc>
          <w:tcPr>
            <w:tcW w:w="1417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Age Stage </w:t>
            </w:r>
          </w:p>
        </w:tc>
        <w:tc>
          <w:tcPr>
            <w:tcW w:w="2718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4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988" w:type="dxa"/>
            <w:gridSpan w:val="2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5C02" w:rsidTr="00011DFC">
        <w:trPr>
          <w:gridAfter w:val="1"/>
          <w:wAfter w:w="113" w:type="dxa"/>
        </w:trPr>
        <w:tc>
          <w:tcPr>
            <w:tcW w:w="1417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Maturity (adulthood) </w:t>
            </w:r>
          </w:p>
        </w:tc>
        <w:tc>
          <w:tcPr>
            <w:tcW w:w="2718" w:type="dxa"/>
          </w:tcPr>
          <w:p w:rsidR="00115C02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Visual acuity continues to improve during 20s and 30s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age 45 there is a tendency for presbyopia, caused by age-related inability of lens to change its curvature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 elasticity and transparency decrease</w:t>
            </w:r>
          </w:p>
          <w:p w:rsidR="00115C02" w:rsidRPr="00D41888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Incidence of cataract formation increases over age 30 </w:t>
            </w:r>
          </w:p>
        </w:tc>
        <w:tc>
          <w:tcPr>
            <w:tcW w:w="2340" w:type="dxa"/>
          </w:tcPr>
          <w:p w:rsidR="00115C02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Sharp decline in ability to quickly adapt to change from light to dark environment after age 40 </w:t>
            </w:r>
          </w:p>
          <w:p w:rsidR="00115C02" w:rsidRPr="006B56DF" w:rsidRDefault="00115C02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Difficulty with reading small print and adapting quickly to lighting between environments are issues for clinicians to be aware of with patient instruction </w:t>
            </w:r>
          </w:p>
        </w:tc>
      </w:tr>
    </w:tbl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Vestibular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274"/>
        <w:gridCol w:w="2140"/>
        <w:gridCol w:w="2932"/>
      </w:tblGrid>
      <w:tr w:rsidR="00115C02" w:rsidTr="00011DFC">
        <w:tc>
          <w:tcPr>
            <w:tcW w:w="152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43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25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314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5C02" w:rsidTr="00011DFC">
        <w:tc>
          <w:tcPr>
            <w:tcW w:w="152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Maturity (adulthood) </w:t>
            </w:r>
          </w:p>
        </w:tc>
        <w:tc>
          <w:tcPr>
            <w:tcW w:w="2430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Beginning at age 40, number of sensory fibers and cells decrease </w:t>
            </w:r>
          </w:p>
        </w:tc>
        <w:tc>
          <w:tcPr>
            <w:tcW w:w="2250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specific significant functional implications </w:t>
            </w:r>
          </w:p>
        </w:tc>
        <w:tc>
          <w:tcPr>
            <w:tcW w:w="3145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the other systems, knowledge and past experience will make up for any minimal decline, maximizing rehabilitation potential </w:t>
            </w:r>
          </w:p>
        </w:tc>
      </w:tr>
    </w:tbl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Muscular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2094"/>
        <w:gridCol w:w="2615"/>
        <w:gridCol w:w="2714"/>
      </w:tblGrid>
      <w:tr w:rsidR="00115C02" w:rsidTr="00011DFC">
        <w:tc>
          <w:tcPr>
            <w:tcW w:w="143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25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79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87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5C02" w:rsidTr="00011DFC">
        <w:tc>
          <w:tcPr>
            <w:tcW w:w="143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>Maturity (adulthood)</w:t>
            </w:r>
          </w:p>
        </w:tc>
        <w:tc>
          <w:tcPr>
            <w:tcW w:w="2250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Fiber numbers continue to increase through age 50, after which decline begins </w:t>
            </w:r>
          </w:p>
        </w:tc>
        <w:tc>
          <w:tcPr>
            <w:tcW w:w="2790" w:type="dxa"/>
          </w:tcPr>
          <w:p w:rsidR="00115C02" w:rsidRPr="006B56DF" w:rsidRDefault="00115C02" w:rsidP="00115C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strength begins to peak during 20s, maximal in men between 30-50, staying constant until 50; 20% loss by age 60 </w:t>
            </w:r>
          </w:p>
        </w:tc>
        <w:tc>
          <w:tcPr>
            <w:tcW w:w="2875" w:type="dxa"/>
          </w:tcPr>
          <w:p w:rsidR="00115C02" w:rsidRDefault="00115C02" w:rsidP="00115C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Physically active adults maintain and increase strength </w:t>
            </w:r>
          </w:p>
          <w:p w:rsidR="00115C02" w:rsidRPr="00FE48B4" w:rsidRDefault="00115C02" w:rsidP="00115C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a considerable variation in strength and endurance between individuals </w:t>
            </w:r>
          </w:p>
        </w:tc>
      </w:tr>
    </w:tbl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C02" w:rsidRDefault="00115C02" w:rsidP="00115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Skeletal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2323"/>
        <w:gridCol w:w="2432"/>
        <w:gridCol w:w="2684"/>
      </w:tblGrid>
      <w:tr w:rsidR="00115C02" w:rsidTr="00011DFC">
        <w:tc>
          <w:tcPr>
            <w:tcW w:w="1417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448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610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875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5C02" w:rsidTr="00011DFC">
        <w:tc>
          <w:tcPr>
            <w:tcW w:w="1417" w:type="dxa"/>
          </w:tcPr>
          <w:p w:rsidR="00115C02" w:rsidRPr="00FE48B4" w:rsidRDefault="00115C02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Maturity (adulthood) </w:t>
            </w:r>
          </w:p>
        </w:tc>
        <w:tc>
          <w:tcPr>
            <w:tcW w:w="2448" w:type="dxa"/>
          </w:tcPr>
          <w:p w:rsidR="00115C02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Bone remodeling and increases in density continue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age 40, bone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resorption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begins to exceed bone replacement </w:t>
            </w:r>
          </w:p>
          <w:p w:rsidR="00115C02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Intervertebral disc becomes more fibrous, less hydrated; vertebral bodies are less dense </w:t>
            </w:r>
          </w:p>
          <w:p w:rsidR="00115C02" w:rsidRPr="00FE48B4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Menopause creates a great impetus for bone loss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 </w:t>
            </w:r>
            <w:proofErr w:type="gramEnd"/>
          </w:p>
        </w:tc>
        <w:tc>
          <w:tcPr>
            <w:tcW w:w="2610" w:type="dxa"/>
          </w:tcPr>
          <w:p w:rsidR="00115C02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Changes in density and modeling occur as response to weight bearing and muscular contraction </w:t>
            </w:r>
          </w:p>
          <w:p w:rsidR="00115C02" w:rsidRPr="00FE48B4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changes in vertebral column, some degrees of shortening in height may become evident </w:t>
            </w:r>
          </w:p>
        </w:tc>
        <w:tc>
          <w:tcPr>
            <w:tcW w:w="2875" w:type="dxa"/>
          </w:tcPr>
          <w:p w:rsidR="00115C02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incidence of back pain secondary to disc changes </w:t>
            </w:r>
          </w:p>
          <w:p w:rsidR="00115C02" w:rsidRPr="00FE48B4" w:rsidRDefault="00115C02" w:rsidP="00115C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activity, including weight bearing, will contribute to less bone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resorption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decrease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osteoporosis  </w:t>
            </w:r>
            <w:proofErr w:type="gramEnd"/>
          </w:p>
        </w:tc>
      </w:tr>
    </w:tbl>
    <w:p w:rsidR="00115C02" w:rsidRPr="006856F5" w:rsidRDefault="00115C02" w:rsidP="00115C02">
      <w:pPr>
        <w:rPr>
          <w:rFonts w:ascii="Times New Roman" w:hAnsi="Times New Roman" w:cs="Times New Roman"/>
          <w:b/>
          <w:sz w:val="24"/>
          <w:szCs w:val="24"/>
        </w:rPr>
      </w:pPr>
    </w:p>
    <w:p w:rsidR="002975C3" w:rsidRDefault="002975C3">
      <w:bookmarkStart w:id="0" w:name="_GoBack"/>
      <w:bookmarkEnd w:id="0"/>
    </w:p>
    <w:sectPr w:rsidR="002975C3" w:rsidSect="00A52A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D64"/>
    <w:multiLevelType w:val="hybridMultilevel"/>
    <w:tmpl w:val="7ABA9E3C"/>
    <w:lvl w:ilvl="0" w:tplc="D02A77B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0C23"/>
    <w:multiLevelType w:val="hybridMultilevel"/>
    <w:tmpl w:val="AD8C4BEC"/>
    <w:lvl w:ilvl="0" w:tplc="B05068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408FE"/>
    <w:multiLevelType w:val="hybridMultilevel"/>
    <w:tmpl w:val="651C593C"/>
    <w:lvl w:ilvl="0" w:tplc="B05068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2B78"/>
    <w:multiLevelType w:val="hybridMultilevel"/>
    <w:tmpl w:val="C7DE2206"/>
    <w:lvl w:ilvl="0" w:tplc="B05068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15846"/>
    <w:multiLevelType w:val="hybridMultilevel"/>
    <w:tmpl w:val="0F4C45C4"/>
    <w:lvl w:ilvl="0" w:tplc="B05068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8178A4"/>
    <w:multiLevelType w:val="hybridMultilevel"/>
    <w:tmpl w:val="493E4944"/>
    <w:lvl w:ilvl="0" w:tplc="B050683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02"/>
    <w:rsid w:val="00115C02"/>
    <w:rsid w:val="002975C3"/>
    <w:rsid w:val="00A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0D7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0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02"/>
    <w:pPr>
      <w:ind w:left="720"/>
      <w:contextualSpacing/>
    </w:pPr>
  </w:style>
  <w:style w:type="table" w:styleId="TableGrid">
    <w:name w:val="Table Grid"/>
    <w:basedOn w:val="TableNormal"/>
    <w:uiPriority w:val="39"/>
    <w:rsid w:val="00115C0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0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02"/>
    <w:pPr>
      <w:ind w:left="720"/>
      <w:contextualSpacing/>
    </w:pPr>
  </w:style>
  <w:style w:type="table" w:styleId="TableGrid">
    <w:name w:val="Table Grid"/>
    <w:basedOn w:val="TableNormal"/>
    <w:uiPriority w:val="39"/>
    <w:rsid w:val="00115C0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Macintosh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 Tompa</dc:creator>
  <cp:keywords/>
  <dc:description/>
  <cp:lastModifiedBy>Casey  Tompa</cp:lastModifiedBy>
  <cp:revision>2</cp:revision>
  <dcterms:created xsi:type="dcterms:W3CDTF">2019-04-16T03:07:00Z</dcterms:created>
  <dcterms:modified xsi:type="dcterms:W3CDTF">2019-04-16T03:07:00Z</dcterms:modified>
</cp:coreProperties>
</file>